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A21D8" w14:textId="77777777" w:rsidR="000E7D58" w:rsidRDefault="000E7D58" w:rsidP="00BC1D53">
      <w:pPr>
        <w:spacing w:after="0" w:line="480" w:lineRule="auto"/>
        <w:jc w:val="center"/>
      </w:pPr>
    </w:p>
    <w:p w14:paraId="68914112" w14:textId="77777777" w:rsidR="000E7D58" w:rsidRDefault="000E7D58" w:rsidP="00BC1D53">
      <w:pPr>
        <w:spacing w:after="0" w:line="480" w:lineRule="auto"/>
        <w:jc w:val="center"/>
      </w:pPr>
    </w:p>
    <w:p w14:paraId="277A3512" w14:textId="77777777" w:rsidR="000E7D58" w:rsidRDefault="000E7D58" w:rsidP="00BC1D53">
      <w:pPr>
        <w:spacing w:after="0" w:line="480" w:lineRule="auto"/>
        <w:jc w:val="center"/>
      </w:pPr>
    </w:p>
    <w:p w14:paraId="1652ABBD" w14:textId="77777777" w:rsidR="000E7D58" w:rsidRDefault="000E7D58" w:rsidP="00BC1D53">
      <w:pPr>
        <w:spacing w:after="0" w:line="480" w:lineRule="auto"/>
        <w:jc w:val="center"/>
      </w:pPr>
    </w:p>
    <w:p w14:paraId="7C932DF9" w14:textId="77777777" w:rsidR="000E7D58" w:rsidRDefault="000E7D58" w:rsidP="00BC1D53">
      <w:pPr>
        <w:spacing w:after="0" w:line="480" w:lineRule="auto"/>
        <w:jc w:val="center"/>
      </w:pPr>
    </w:p>
    <w:p w14:paraId="3557B221" w14:textId="77777777" w:rsidR="000E7D58" w:rsidRDefault="000E7D58" w:rsidP="00BC1D53">
      <w:pPr>
        <w:spacing w:after="0" w:line="480" w:lineRule="auto"/>
        <w:jc w:val="center"/>
      </w:pPr>
    </w:p>
    <w:p w14:paraId="00595B75" w14:textId="77777777" w:rsidR="000E7D58" w:rsidRDefault="000E7D58" w:rsidP="00BC1D53">
      <w:pPr>
        <w:spacing w:after="0" w:line="480" w:lineRule="auto"/>
        <w:jc w:val="center"/>
      </w:pPr>
    </w:p>
    <w:p w14:paraId="7F164535" w14:textId="77777777" w:rsidR="000E7D58" w:rsidRDefault="000E7D58" w:rsidP="00BC1D53">
      <w:pPr>
        <w:spacing w:after="0" w:line="480" w:lineRule="auto"/>
        <w:jc w:val="center"/>
      </w:pPr>
    </w:p>
    <w:p w14:paraId="1469FAD1" w14:textId="2F7F9488" w:rsidR="000E7D58" w:rsidRDefault="000E7D58" w:rsidP="00BC1D53">
      <w:pPr>
        <w:spacing w:after="0" w:line="480" w:lineRule="auto"/>
        <w:jc w:val="center"/>
      </w:pPr>
    </w:p>
    <w:p w14:paraId="4C720371" w14:textId="77777777" w:rsidR="00BC1D53" w:rsidRDefault="00BC1D53" w:rsidP="00BC1D53">
      <w:pPr>
        <w:spacing w:after="0" w:line="480" w:lineRule="auto"/>
        <w:jc w:val="center"/>
      </w:pPr>
    </w:p>
    <w:p w14:paraId="40C7EFD4" w14:textId="77777777" w:rsidR="000E7D58" w:rsidRDefault="000E7D58" w:rsidP="00BC1D53">
      <w:pPr>
        <w:spacing w:after="0" w:line="480" w:lineRule="auto"/>
        <w:jc w:val="center"/>
      </w:pPr>
    </w:p>
    <w:p w14:paraId="514871EE" w14:textId="77777777" w:rsidR="00DF7BEC" w:rsidRDefault="000A0C79" w:rsidP="00BC1D53">
      <w:pPr>
        <w:spacing w:after="0" w:line="480" w:lineRule="auto"/>
        <w:jc w:val="center"/>
      </w:pPr>
      <w:r w:rsidRPr="00725368">
        <w:t>Cooper Industries v. Leatherman Tool Group</w:t>
      </w:r>
    </w:p>
    <w:p w14:paraId="4B700AB7" w14:textId="77777777" w:rsidR="00DF7BEC" w:rsidRDefault="000A0C79" w:rsidP="00BC1D53">
      <w:pPr>
        <w:spacing w:after="0" w:line="480" w:lineRule="auto"/>
        <w:jc w:val="center"/>
      </w:pPr>
      <w:r>
        <w:t>Student Name:</w:t>
      </w:r>
    </w:p>
    <w:p w14:paraId="2457DD15" w14:textId="77777777" w:rsidR="00DF7BEC" w:rsidRDefault="000A0C79" w:rsidP="00BC1D53">
      <w:pPr>
        <w:spacing w:after="0" w:line="480" w:lineRule="auto"/>
        <w:jc w:val="center"/>
      </w:pPr>
      <w:r>
        <w:t>Institution Affliction:</w:t>
      </w:r>
    </w:p>
    <w:p w14:paraId="59C936DC" w14:textId="77777777" w:rsidR="000E7D58" w:rsidRDefault="000A0C79" w:rsidP="00BC1D53">
      <w:pPr>
        <w:spacing w:after="0" w:line="480" w:lineRule="auto"/>
        <w:jc w:val="left"/>
      </w:pPr>
      <w:r>
        <w:br w:type="page"/>
      </w:r>
    </w:p>
    <w:p w14:paraId="174A73A9" w14:textId="4CFADE51" w:rsidR="00A807C7" w:rsidRPr="000E7D58" w:rsidRDefault="000A0C79" w:rsidP="00BC1D53">
      <w:pPr>
        <w:spacing w:after="0" w:line="480" w:lineRule="auto"/>
        <w:jc w:val="center"/>
      </w:pPr>
      <w:r w:rsidRPr="000E7D58">
        <w:lastRenderedPageBreak/>
        <w:t xml:space="preserve">Cooper Industries v. Leatherman Tool Group </w:t>
      </w:r>
    </w:p>
    <w:p w14:paraId="1E43D6CA" w14:textId="77777777" w:rsidR="00725368" w:rsidRPr="000E7D58" w:rsidRDefault="000A0C79" w:rsidP="00BC1D53">
      <w:pPr>
        <w:spacing w:after="0" w:line="480" w:lineRule="auto"/>
        <w:rPr>
          <w:b/>
        </w:rPr>
      </w:pPr>
      <w:r>
        <w:rPr>
          <w:b/>
        </w:rPr>
        <w:t>Facts of the C</w:t>
      </w:r>
      <w:r w:rsidRPr="000E7D58">
        <w:rPr>
          <w:b/>
        </w:rPr>
        <w:t>ase</w:t>
      </w:r>
    </w:p>
    <w:p w14:paraId="2B93C64C" w14:textId="77777777" w:rsidR="00725368" w:rsidRDefault="000A0C79" w:rsidP="00BC1D53">
      <w:pPr>
        <w:spacing w:after="0" w:line="480" w:lineRule="auto"/>
        <w:ind w:firstLine="720"/>
      </w:pPr>
      <w:r>
        <w:t>The survival tools are multifunction pocket tools that are manufactured by Leatherman Tool Group, Inc. ToolZall was a competing tool that was introduced by Cooper Industries, Inc. in 1996 using photographs</w:t>
      </w:r>
      <w:r>
        <w:t xml:space="preserve"> of a modified pocket survival tool. In most cases, the photographs were used in advertising materials, packaging, and also posters</w:t>
      </w:r>
      <w:r w:rsidR="000E7D58">
        <w:t xml:space="preserve"> (</w:t>
      </w:r>
      <w:r w:rsidR="000E7D58">
        <w:rPr>
          <w:rFonts w:eastAsia="Times New Roman" w:cs="Times New Roman"/>
          <w:szCs w:val="24"/>
          <w:lang w:eastAsia="en-GB"/>
        </w:rPr>
        <w:t xml:space="preserve">Coderch, </w:t>
      </w:r>
      <w:r w:rsidR="000E7D58" w:rsidRPr="00DF7BEC">
        <w:rPr>
          <w:rFonts w:eastAsia="Times New Roman" w:cs="Times New Roman"/>
          <w:szCs w:val="24"/>
          <w:lang w:eastAsia="en-GB"/>
        </w:rPr>
        <w:t>2001).</w:t>
      </w:r>
      <w:r w:rsidR="00ED2DCD">
        <w:t xml:space="preserve"> Due to this Leatherman filed an action which asserted the claims of false advertising, unfair competition, and trade-dress infringement all under the Trademark Act of 1946. (Lanham Act). $4.5 Million was awarded to Leatherman by the jury in punitive damages. Cooper tried to make an argument that punitive damages were grossly excessive but the district court entered with a judgment rejection Cooper's argument. The court of appeal later affirmed that the district court did not abuse its discretion in declining to reduce the award with the utilization of its "abuse of discretion" standard.</w:t>
      </w:r>
      <w:r w:rsidR="00B27B1B">
        <w:t xml:space="preserve"> Generally, Cooper Industries, </w:t>
      </w:r>
      <w:r w:rsidR="00724A32">
        <w:t>Inc.</w:t>
      </w:r>
      <w:r w:rsidR="00B27B1B">
        <w:t xml:space="preserve"> was the first party in the </w:t>
      </w:r>
      <w:r w:rsidR="00724A32">
        <w:t>case</w:t>
      </w:r>
      <w:r w:rsidR="00B27B1B">
        <w:t xml:space="preserve"> while </w:t>
      </w:r>
      <w:r w:rsidR="00724A32">
        <w:t>Leatherman</w:t>
      </w:r>
      <w:r w:rsidR="00B27B1B">
        <w:t xml:space="preserve"> Tool Group, </w:t>
      </w:r>
      <w:r w:rsidR="00724A32">
        <w:t>Inc.</w:t>
      </w:r>
      <w:r w:rsidR="00B27B1B">
        <w:t xml:space="preserve">, was the second party. The case was decided on </w:t>
      </w:r>
      <w:r w:rsidR="00724A32">
        <w:t>May</w:t>
      </w:r>
      <w:r w:rsidR="00B27B1B">
        <w:t xml:space="preserve"> 13, 2001</w:t>
      </w:r>
      <w:r w:rsidR="000E7D58">
        <w:t xml:space="preserve"> (</w:t>
      </w:r>
      <w:r w:rsidR="000E7D58">
        <w:rPr>
          <w:rFonts w:eastAsia="Times New Roman" w:cs="Times New Roman"/>
          <w:szCs w:val="24"/>
          <w:lang w:eastAsia="en-GB"/>
        </w:rPr>
        <w:t>Coderch, 2001).</w:t>
      </w:r>
    </w:p>
    <w:p w14:paraId="5F2B0CF3" w14:textId="77777777" w:rsidR="00173582" w:rsidRPr="000E7D58" w:rsidRDefault="000A0C79" w:rsidP="00BC1D53">
      <w:pPr>
        <w:spacing w:after="0" w:line="480" w:lineRule="auto"/>
        <w:rPr>
          <w:b/>
        </w:rPr>
      </w:pPr>
      <w:r w:rsidRPr="000E7D58">
        <w:rPr>
          <w:b/>
        </w:rPr>
        <w:t>Forensic Psychology or Scientific Issue Presented</w:t>
      </w:r>
    </w:p>
    <w:p w14:paraId="119CC117" w14:textId="77777777" w:rsidR="00170BF9" w:rsidRDefault="000A0C79" w:rsidP="00BC1D53">
      <w:pPr>
        <w:spacing w:after="0" w:line="480" w:lineRule="auto"/>
        <w:ind w:firstLine="720"/>
      </w:pPr>
      <w:r>
        <w:t>Did the Court of Appeals apply a de novo standard whe</w:t>
      </w:r>
      <w:r>
        <w:t xml:space="preserve">n reviewing the district court determinations of the Constitutionality of Punitive damages awards? Did Court of Appeals use Ninth Circuit erred in applying the less demanding abuse-of-discretion standard in </w:t>
      </w:r>
      <w:r w:rsidR="00644C5C">
        <w:t>the case</w:t>
      </w:r>
      <w:r>
        <w:t>?</w:t>
      </w:r>
    </w:p>
    <w:p w14:paraId="45A837AB" w14:textId="77777777" w:rsidR="00170BF9" w:rsidRPr="000E7D58" w:rsidRDefault="000A0C79" w:rsidP="00BC1D53">
      <w:pPr>
        <w:spacing w:after="0" w:line="480" w:lineRule="auto"/>
        <w:rPr>
          <w:b/>
        </w:rPr>
      </w:pPr>
      <w:r w:rsidRPr="000E7D58">
        <w:rPr>
          <w:b/>
        </w:rPr>
        <w:t xml:space="preserve">Review of Literature </w:t>
      </w:r>
    </w:p>
    <w:p w14:paraId="616C6A52" w14:textId="77777777" w:rsidR="006346F0" w:rsidRDefault="000A0C79" w:rsidP="00BC1D53">
      <w:pPr>
        <w:spacing w:after="0" w:line="480" w:lineRule="auto"/>
        <w:ind w:firstLine="720"/>
      </w:pPr>
      <w:r>
        <w:t>The petitioner th</w:t>
      </w:r>
      <w:r>
        <w:t xml:space="preserve">at is Cooper Industries, Inc. in 1995 decided to design and market a competing multifunction tool. In the </w:t>
      </w:r>
      <w:r w:rsidR="00697997">
        <w:t>company’s</w:t>
      </w:r>
      <w:r>
        <w:t xml:space="preserve"> </w:t>
      </w:r>
      <w:r w:rsidR="00697997">
        <w:t>attempt</w:t>
      </w:r>
      <w:r>
        <w:t xml:space="preserve">, Cooper made </w:t>
      </w:r>
      <w:r w:rsidR="00697997">
        <w:t>precise</w:t>
      </w:r>
      <w:r>
        <w:t xml:space="preserve"> </w:t>
      </w:r>
      <w:r w:rsidR="00697997">
        <w:t>deism</w:t>
      </w:r>
      <w:r>
        <w:t xml:space="preserve"> of copying PST basic Features then make </w:t>
      </w:r>
      <w:r w:rsidR="00697997">
        <w:t>modifications</w:t>
      </w:r>
      <w:r>
        <w:t xml:space="preserve"> and add some new minor features then sell the newly developed tool </w:t>
      </w:r>
      <w:r w:rsidR="00697997">
        <w:t>under</w:t>
      </w:r>
      <w:r>
        <w:t xml:space="preserve"> the name of “TooZall." </w:t>
      </w:r>
      <w:r w:rsidR="00697997">
        <w:t>The company targeted to gain at least 5% of the multifunction tool market.</w:t>
      </w:r>
      <w:r w:rsidR="007D6C97">
        <w:t xml:space="preserve"> The first final product was similar to the PST. </w:t>
      </w:r>
      <w:r w:rsidR="00C24E18">
        <w:lastRenderedPageBreak/>
        <w:t>However,</w:t>
      </w:r>
      <w:r w:rsidR="007D6C97">
        <w:t xml:space="preserve"> in </w:t>
      </w:r>
      <w:r w:rsidR="00C24E18">
        <w:t>response</w:t>
      </w:r>
      <w:r w:rsidR="007D6C97">
        <w:t xml:space="preserve"> to litigation, the </w:t>
      </w:r>
      <w:r w:rsidR="00C24E18">
        <w:t>company</w:t>
      </w:r>
      <w:r w:rsidR="007D6C97">
        <w:t xml:space="preserve"> </w:t>
      </w:r>
      <w:r w:rsidR="00C24E18">
        <w:t>precisely</w:t>
      </w:r>
      <w:r w:rsidR="007D6C97">
        <w:t xml:space="preserve"> modified the design.</w:t>
      </w:r>
      <w:r w:rsidR="000A106B">
        <w:t xml:space="preserve"> The case was filed for it to resolve the controversy involved in Cooper’s improper advertising of its original ToolZall design.</w:t>
      </w:r>
      <w:r w:rsidR="00F31F40">
        <w:t xml:space="preserve"> </w:t>
      </w:r>
    </w:p>
    <w:p w14:paraId="1737A568" w14:textId="77777777" w:rsidR="00F31F40" w:rsidRDefault="000A0C79" w:rsidP="00BC1D53">
      <w:pPr>
        <w:spacing w:after="0" w:line="480" w:lineRule="auto"/>
        <w:ind w:firstLine="720"/>
      </w:pPr>
      <w:r>
        <w:t xml:space="preserve">According to </w:t>
      </w:r>
      <w:r>
        <w:rPr>
          <w:rFonts w:eastAsia="Times New Roman" w:cs="Times New Roman"/>
          <w:szCs w:val="24"/>
          <w:lang w:eastAsia="en-GB"/>
        </w:rPr>
        <w:t xml:space="preserve">Hoversten, (2017), </w:t>
      </w:r>
      <w:r>
        <w:t>in the introduction of the ToolZall by a cooper in 1</w:t>
      </w:r>
      <w:r>
        <w:t>996 at the National Hardware Show in Chicago, the company used advertising materials, packaging, and posters that purported to be of a ToolZall but was modified PST.</w:t>
      </w:r>
      <w:r w:rsidR="00383010">
        <w:t xml:space="preserve"> A cooper employee created a ToolZall by the utilization of Leatherman trademark from pliers and handles and making a substitution of a PST and making a substitution of the unique fastenings that </w:t>
      </w:r>
      <w:r w:rsidR="00B7081C">
        <w:t>were</w:t>
      </w:r>
      <w:r w:rsidR="00383010">
        <w:t xml:space="preserve"> to be used on the ToolZall.</w:t>
      </w:r>
      <w:r w:rsidR="00E45A3E">
        <w:t xml:space="preserve"> On</w:t>
      </w:r>
      <w:r w:rsidR="00021871">
        <w:t>e</w:t>
      </w:r>
      <w:r w:rsidR="00E45A3E">
        <w:t xml:space="preserve"> </w:t>
      </w:r>
      <w:r w:rsidR="00021871">
        <w:t>of</w:t>
      </w:r>
      <w:r w:rsidR="00E45A3E">
        <w:t xml:space="preserve"> the photographs was retouched hence removing a curved indentation where the </w:t>
      </w:r>
      <w:r w:rsidR="00021871">
        <w:t>Leatherman</w:t>
      </w:r>
      <w:r w:rsidR="00E45A3E">
        <w:t xml:space="preserve"> trademark had been</w:t>
      </w:r>
      <w:r w:rsidR="00B40A79">
        <w:t xml:space="preserve">. Cooper used the photographs both in the trade show which precisely attracted more than 70,000 people and also in all marketing CatLog and materials during the entire sells in the country. </w:t>
      </w:r>
      <w:r w:rsidR="004D57C0">
        <w:t>T</w:t>
      </w:r>
      <w:r w:rsidR="0008228C">
        <w:t>o all the international representatives, Cooper accurately distributed a touch-up line drawing of a PST.</w:t>
      </w:r>
    </w:p>
    <w:p w14:paraId="4CD1438C" w14:textId="77777777" w:rsidR="00440739" w:rsidRDefault="000A0C79" w:rsidP="00BC1D53">
      <w:pPr>
        <w:spacing w:after="0" w:line="480" w:lineRule="auto"/>
        <w:ind w:firstLine="720"/>
      </w:pPr>
      <w:r>
        <w:t xml:space="preserve">Few moments after the tradeshow, Leatherman filled the action asserting claims of the trade dressing, false advertising and also unfair </w:t>
      </w:r>
      <w:r w:rsidR="00746FFC">
        <w:t xml:space="preserve">competitions </w:t>
      </w:r>
      <w:r>
        <w:t>under the act 43(a) of the Trademark Act of 1946.</w:t>
      </w:r>
      <w:r w:rsidR="00163993">
        <w:t xml:space="preserve"> </w:t>
      </w:r>
      <w:r w:rsidR="00C049DE">
        <w:t>Cooper was in 1996 prohibited from using PST modified pictures and marketing ToolZall by the district court.</w:t>
      </w:r>
      <w:r w:rsidR="007A023F">
        <w:t xml:space="preserve"> In reply, Cooper withdrew </w:t>
      </w:r>
      <w:r w:rsidR="00AD795F">
        <w:t>that</w:t>
      </w:r>
      <w:r w:rsidR="007A023F">
        <w:t xml:space="preserve"> </w:t>
      </w:r>
      <w:r w:rsidR="00AD795F">
        <w:t>first</w:t>
      </w:r>
      <w:r w:rsidR="007A023F">
        <w:t xml:space="preserve"> ToolZall from the market and designed another one with a </w:t>
      </w:r>
      <w:r w:rsidR="00AD795F">
        <w:t>plastic</w:t>
      </w:r>
      <w:r w:rsidR="007A023F">
        <w:t xml:space="preserve"> coated handles which were </w:t>
      </w:r>
      <w:r w:rsidR="00AD795F">
        <w:t>significantly</w:t>
      </w:r>
      <w:r w:rsidR="007A023F">
        <w:t xml:space="preserve"> </w:t>
      </w:r>
      <w:r w:rsidR="00AD795F">
        <w:t>different</w:t>
      </w:r>
      <w:r w:rsidR="007A023F">
        <w:t xml:space="preserve"> from the PST</w:t>
      </w:r>
      <w:r w:rsidR="00422FC4">
        <w:t xml:space="preserve"> (</w:t>
      </w:r>
      <w:r w:rsidR="00422FC4" w:rsidRPr="00DF7BEC">
        <w:rPr>
          <w:rFonts w:eastAsia="Times New Roman" w:cs="Times New Roman"/>
          <w:szCs w:val="24"/>
          <w:lang w:eastAsia="en-GB"/>
        </w:rPr>
        <w:t>McMi</w:t>
      </w:r>
      <w:r w:rsidR="00422FC4">
        <w:rPr>
          <w:rFonts w:eastAsia="Times New Roman" w:cs="Times New Roman"/>
          <w:szCs w:val="24"/>
          <w:lang w:eastAsia="en-GB"/>
        </w:rPr>
        <w:t xml:space="preserve">chael, &amp; Viscusi, </w:t>
      </w:r>
      <w:r w:rsidR="00422FC4" w:rsidRPr="00DF7BEC">
        <w:rPr>
          <w:rFonts w:eastAsia="Times New Roman" w:cs="Times New Roman"/>
          <w:szCs w:val="24"/>
          <w:lang w:eastAsia="en-GB"/>
        </w:rPr>
        <w:t>2018).</w:t>
      </w:r>
      <w:r w:rsidR="00AD795F">
        <w:t xml:space="preserve"> Cooper attempted sending a notice to all its sells personnel which ordered a recall in all promotional materials containing any pictures related to PST but was unable to retrieve the materials that were sent to the customers.</w:t>
      </w:r>
      <w:r w:rsidR="00F25ED4">
        <w:t xml:space="preserve"> Due to this, the promotional pictures proceeded to appear in the </w:t>
      </w:r>
      <w:r w:rsidR="00862AF3">
        <w:t>company’s</w:t>
      </w:r>
      <w:r w:rsidR="00F25ED4">
        <w:t xml:space="preserve"> </w:t>
      </w:r>
      <w:r w:rsidR="00862AF3">
        <w:t>advertisement</w:t>
      </w:r>
      <w:r w:rsidR="00F25ED4">
        <w:t xml:space="preserve"> and catalogs till 1997.</w:t>
      </w:r>
    </w:p>
    <w:p w14:paraId="1319379D" w14:textId="77777777" w:rsidR="006126F3" w:rsidRDefault="000A0C79" w:rsidP="00BC1D53">
      <w:pPr>
        <w:spacing w:after="0" w:line="480" w:lineRule="auto"/>
        <w:ind w:firstLine="720"/>
      </w:pPr>
      <w:r>
        <w:t xml:space="preserve">According to Dole Jr, (2016), several </w:t>
      </w:r>
      <w:r w:rsidR="005556D7">
        <w:t>special</w:t>
      </w:r>
      <w:r>
        <w:t xml:space="preserve"> interrogatories were answered by a verdict that was turned by jury in a trial that was conducted in 1997.</w:t>
      </w:r>
      <w:r w:rsidR="005556D7">
        <w:t xml:space="preserve"> In connection to Lanham Act, </w:t>
      </w:r>
      <w:r w:rsidR="005556D7">
        <w:lastRenderedPageBreak/>
        <w:t xml:space="preserve">jury </w:t>
      </w:r>
      <w:r w:rsidR="00312DD4">
        <w:t>discovered</w:t>
      </w:r>
      <w:r w:rsidR="005556D7">
        <w:t xml:space="preserve"> </w:t>
      </w:r>
      <w:r w:rsidR="00312DD4">
        <w:t>that</w:t>
      </w:r>
      <w:r w:rsidR="005556D7">
        <w:t xml:space="preserve"> the </w:t>
      </w:r>
      <w:r w:rsidR="00312DD4">
        <w:t>original cooper's ToolZall infringed the trademark</w:t>
      </w:r>
      <w:r w:rsidR="005556D7">
        <w:t xml:space="preserve"> </w:t>
      </w:r>
      <w:r w:rsidR="00312DD4">
        <w:t>rights</w:t>
      </w:r>
      <w:r w:rsidR="005556D7">
        <w:t xml:space="preserve"> that Leatherman had in the overall appearance of the PSTToolZall but never damaged Leatherman.</w:t>
      </w:r>
      <w:r w:rsidR="00312DD4">
        <w:t xml:space="preserve"> F</w:t>
      </w:r>
      <w:r w:rsidR="0050749B">
        <w:t>urther</w:t>
      </w:r>
      <w:r w:rsidR="00312DD4">
        <w:t>, the jury found that the initial modified ToolZall never infringed the Leatherman's trademark rights in the PST.</w:t>
      </w:r>
      <w:r w:rsidR="0050749B">
        <w:t xml:space="preserve"> The jury assessed the aggregate damage of $50,000 on the </w:t>
      </w:r>
      <w:r w:rsidR="003C6050">
        <w:t>claims</w:t>
      </w:r>
      <w:r w:rsidR="0050749B">
        <w:t xml:space="preserve"> </w:t>
      </w:r>
      <w:r w:rsidR="003C6050">
        <w:t>of</w:t>
      </w:r>
      <w:r w:rsidR="0050749B">
        <w:t xml:space="preserve"> </w:t>
      </w:r>
      <w:r w:rsidR="003C6050">
        <w:t>advertising</w:t>
      </w:r>
      <w:r w:rsidR="0050749B">
        <w:t xml:space="preserve"> </w:t>
      </w:r>
      <w:r w:rsidR="003C6050">
        <w:t>that</w:t>
      </w:r>
      <w:r w:rsidR="0050749B">
        <w:t xml:space="preserve"> it found Cooper </w:t>
      </w:r>
      <w:r w:rsidR="003C6050">
        <w:t>guilty</w:t>
      </w:r>
      <w:r w:rsidR="0050749B">
        <w:t xml:space="preserve"> of including unfair competition, false </w:t>
      </w:r>
      <w:r w:rsidR="003C6050">
        <w:t>advertising</w:t>
      </w:r>
      <w:r w:rsidR="0050749B">
        <w:t xml:space="preserve">, and </w:t>
      </w:r>
      <w:r w:rsidR="003C6050">
        <w:t>passing</w:t>
      </w:r>
      <w:r w:rsidR="0050749B">
        <w:t xml:space="preserve"> off.</w:t>
      </w:r>
      <w:r w:rsidR="008974D9">
        <w:t xml:space="preserve"> Next, the jury was given </w:t>
      </w:r>
      <w:r w:rsidR="00B31EF5">
        <w:t>precise</w:t>
      </w:r>
      <w:r w:rsidR="008974D9">
        <w:t xml:space="preserve"> instructions to determine the number of punitive damages that would be awarded to Leatherman. After some time, the jury awarded $4.5 </w:t>
      </w:r>
      <w:r w:rsidR="00B31EF5">
        <w:t>million</w:t>
      </w:r>
      <w:r w:rsidR="008974D9">
        <w:t>.</w:t>
      </w:r>
      <w:r w:rsidR="00B31EF5">
        <w:t xml:space="preserve"> </w:t>
      </w:r>
    </w:p>
    <w:p w14:paraId="49774F23" w14:textId="77777777" w:rsidR="00B31EF5" w:rsidRDefault="000A0C79" w:rsidP="00BC1D53">
      <w:pPr>
        <w:spacing w:after="0" w:line="480" w:lineRule="auto"/>
        <w:ind w:firstLine="720"/>
      </w:pPr>
      <w:r>
        <w:t xml:space="preserve">Under the decision </w:t>
      </w:r>
      <w:r w:rsidR="00D64E78">
        <w:t>of</w:t>
      </w:r>
      <w:r>
        <w:t xml:space="preserve"> BMW of North America, Inc. V. Gore, 517 U.S. 559 (1996), the district court made consideration and later rejected the verdict that jury returned arguing that the punitive damages were "grossly excessive." </w:t>
      </w:r>
      <w:r w:rsidR="00D64E78">
        <w:t xml:space="preserve">The </w:t>
      </w:r>
      <w:r w:rsidR="00772870">
        <w:t>district</w:t>
      </w:r>
      <w:r w:rsidR="00D64E78">
        <w:t xml:space="preserve"> </w:t>
      </w:r>
      <w:r w:rsidR="00772870">
        <w:t>court</w:t>
      </w:r>
      <w:r w:rsidR="00D64E78">
        <w:t xml:space="preserve"> </w:t>
      </w:r>
      <w:r w:rsidR="00772870">
        <w:t>under</w:t>
      </w:r>
      <w:r w:rsidR="00D64E78">
        <w:t xml:space="preserve"> </w:t>
      </w:r>
      <w:r w:rsidR="00772870">
        <w:t>its</w:t>
      </w:r>
      <w:r w:rsidR="00D64E78">
        <w:t xml:space="preserve"> judgment revealed </w:t>
      </w:r>
      <w:r w:rsidR="00772870">
        <w:t>that</w:t>
      </w:r>
      <w:r w:rsidR="00D64E78">
        <w:t xml:space="preserve"> 60% of the Punitive </w:t>
      </w:r>
      <w:r w:rsidR="00772870">
        <w:t>damages</w:t>
      </w:r>
      <w:r w:rsidR="00D64E78">
        <w:t xml:space="preserve"> have to be paid to the criminal injuries compensation </w:t>
      </w:r>
      <w:r w:rsidR="00772870">
        <w:t>account</w:t>
      </w:r>
      <w:r w:rsidR="00D64E78">
        <w:t xml:space="preserve"> of the state of Oregon. The judgment further </w:t>
      </w:r>
      <w:r w:rsidR="00772870">
        <w:t>burred</w:t>
      </w:r>
      <w:r w:rsidR="00D64E78">
        <w:t xml:space="preserve"> Coper from engaging in any form of marketing of the original ToolZall in the country and certain specified international countries</w:t>
      </w:r>
      <w:r w:rsidR="00422FC4">
        <w:t xml:space="preserve"> (</w:t>
      </w:r>
      <w:r w:rsidR="00422FC4">
        <w:rPr>
          <w:rFonts w:eastAsia="Times New Roman" w:cs="Times New Roman"/>
          <w:szCs w:val="24"/>
          <w:lang w:eastAsia="en-GB"/>
        </w:rPr>
        <w:t xml:space="preserve">Clark, </w:t>
      </w:r>
      <w:r w:rsidR="00422FC4" w:rsidRPr="00DF7BEC">
        <w:rPr>
          <w:rFonts w:eastAsia="Times New Roman" w:cs="Times New Roman"/>
          <w:szCs w:val="24"/>
          <w:lang w:eastAsia="en-GB"/>
        </w:rPr>
        <w:t>2015).</w:t>
      </w:r>
    </w:p>
    <w:p w14:paraId="0123C809" w14:textId="77777777" w:rsidR="000D3ABB" w:rsidRDefault="000A0C79" w:rsidP="00BC1D53">
      <w:pPr>
        <w:spacing w:after="0" w:line="480" w:lineRule="auto"/>
        <w:ind w:firstLine="720"/>
      </w:pPr>
      <w:r>
        <w:t xml:space="preserve">Cooper challenged both the punitive damage awards and </w:t>
      </w:r>
      <w:r w:rsidR="003F6CBF">
        <w:t xml:space="preserve">the injunction against copying the PST that was ruled by the district court in an appeal. </w:t>
      </w:r>
      <w:r w:rsidR="00512349">
        <w:t xml:space="preserve">The court of appeal issued two opinions.  </w:t>
      </w:r>
      <w:r w:rsidR="00BF19C9">
        <w:t>The injunction</w:t>
      </w:r>
      <w:r w:rsidR="00512349">
        <w:t xml:space="preserve"> was set aside in the first published opinion that is </w:t>
      </w:r>
      <w:r w:rsidR="00BF19C9">
        <w:t>Leatherman</w:t>
      </w:r>
      <w:r w:rsidR="00512349">
        <w:t xml:space="preserve"> Tool Group, Inc. vs. Cooper Industries, Inc., supra.</w:t>
      </w:r>
      <w:r w:rsidR="007A1BFD">
        <w:t xml:space="preserve"> The court of appeal held out that the local appearance of the PST was no protected </w:t>
      </w:r>
      <w:r w:rsidR="00DE553A">
        <w:t>under</w:t>
      </w:r>
      <w:r w:rsidR="007A1BFD">
        <w:t xml:space="preserve"> the </w:t>
      </w:r>
      <w:r w:rsidR="00DE553A">
        <w:t>trademark</w:t>
      </w:r>
      <w:r w:rsidR="007A1BFD">
        <w:t xml:space="preserve"> laws </w:t>
      </w:r>
      <w:r w:rsidR="00DE553A">
        <w:t>since</w:t>
      </w:r>
      <w:r w:rsidR="007A1BFD">
        <w:t xml:space="preserve"> it had different features and making combination off such pictures could bring out something that is more functional and </w:t>
      </w:r>
      <w:r w:rsidR="005D6E61">
        <w:t>efficient. The</w:t>
      </w:r>
      <w:r w:rsidR="000F2DEA">
        <w:t xml:space="preserve"> court of appeal supported that </w:t>
      </w:r>
      <w:r w:rsidR="005D6E61">
        <w:t>though</w:t>
      </w:r>
      <w:r w:rsidR="000F2DEA">
        <w:t xml:space="preserve"> Cooper had </w:t>
      </w:r>
      <w:r w:rsidR="005D6E61">
        <w:t>deliberately</w:t>
      </w:r>
      <w:r w:rsidR="000F2DEA">
        <w:t xml:space="preserve"> copied the PST, the </w:t>
      </w:r>
      <w:r w:rsidR="005D6E61">
        <w:t>company</w:t>
      </w:r>
      <w:r w:rsidR="000F2DEA">
        <w:t xml:space="preserve"> had done so lawfully</w:t>
      </w:r>
      <w:r w:rsidR="000E7D58">
        <w:t xml:space="preserve"> (</w:t>
      </w:r>
      <w:r w:rsidR="000E7D58">
        <w:rPr>
          <w:rFonts w:eastAsia="Times New Roman" w:cs="Times New Roman"/>
          <w:szCs w:val="24"/>
          <w:lang w:eastAsia="en-GB"/>
        </w:rPr>
        <w:t>Clark, 2015)</w:t>
      </w:r>
      <w:r w:rsidR="000F2DEA">
        <w:t>.</w:t>
      </w:r>
    </w:p>
    <w:p w14:paraId="54BDBE56" w14:textId="77777777" w:rsidR="005D6E61" w:rsidRDefault="000A0C79" w:rsidP="00BC1D53">
      <w:pPr>
        <w:spacing w:after="0" w:line="480" w:lineRule="auto"/>
        <w:ind w:firstLine="720"/>
      </w:pPr>
      <w:r>
        <w:t>In the unpublished opinion, the punitive</w:t>
      </w:r>
      <w:r w:rsidR="006C5FA0">
        <w:t xml:space="preserve"> damages award was affirmed by</w:t>
      </w:r>
      <w:r>
        <w:t xml:space="preserve"> the court of appeal. </w:t>
      </w:r>
      <w:r w:rsidR="001E4328">
        <w:t xml:space="preserve">The court in the first place rejected the argument by Cooper that the </w:t>
      </w:r>
      <w:r w:rsidR="00326A1B">
        <w:t xml:space="preserve">Oregon </w:t>
      </w:r>
      <w:r w:rsidR="001E4328">
        <w:lastRenderedPageBreak/>
        <w:t xml:space="preserve">Constitution had been well interpreted to prohibit the awards of punitive damages. </w:t>
      </w:r>
      <w:r w:rsidR="00326A1B">
        <w:t>Further</w:t>
      </w:r>
      <w:r w:rsidR="001E4328">
        <w:t xml:space="preserve">, the court of appeal </w:t>
      </w:r>
      <w:r w:rsidR="00326A1B">
        <w:t>reviewed the</w:t>
      </w:r>
      <w:r w:rsidR="001E4328">
        <w:t xml:space="preserve"> districts </w:t>
      </w:r>
      <w:r w:rsidR="00326A1B">
        <w:t xml:space="preserve">court ruling the </w:t>
      </w:r>
      <w:r w:rsidR="001E4328">
        <w:t xml:space="preserve">award was </w:t>
      </w:r>
      <w:r w:rsidR="00326A1B">
        <w:t>fair</w:t>
      </w:r>
      <w:r w:rsidR="001E4328">
        <w:t xml:space="preserve"> </w:t>
      </w:r>
      <w:r w:rsidR="00326A1B">
        <w:t>based</w:t>
      </w:r>
      <w:r w:rsidR="001E4328">
        <w:t xml:space="preserve"> on the </w:t>
      </w:r>
      <w:r w:rsidR="00326A1B">
        <w:t>nature</w:t>
      </w:r>
      <w:r w:rsidR="001E4328">
        <w:t xml:space="preserve"> of the conduct and the available evidence. </w:t>
      </w:r>
    </w:p>
    <w:p w14:paraId="0E3BC482" w14:textId="77777777" w:rsidR="00503841" w:rsidRPr="000E7D58" w:rsidRDefault="000A0C79" w:rsidP="00BC1D53">
      <w:pPr>
        <w:spacing w:after="0" w:line="480" w:lineRule="auto"/>
        <w:rPr>
          <w:b/>
        </w:rPr>
      </w:pPr>
      <w:r w:rsidRPr="000E7D58">
        <w:rPr>
          <w:b/>
        </w:rPr>
        <w:t>Court Decision</w:t>
      </w:r>
    </w:p>
    <w:p w14:paraId="25EE774F" w14:textId="77777777" w:rsidR="00503841" w:rsidRDefault="000A0C79" w:rsidP="00BC1D53">
      <w:pPr>
        <w:spacing w:after="0" w:line="480" w:lineRule="auto"/>
        <w:ind w:firstLine="720"/>
      </w:pPr>
      <w:r>
        <w:t xml:space="preserve">During the interrogation </w:t>
      </w:r>
      <w:r w:rsidRPr="002D1434">
        <w:t>"Has Leatherman shown by clear and</w:t>
      </w:r>
      <w:r w:rsidRPr="002D1434">
        <w:t xml:space="preserve"> convincing evidence that by engaging in false advertising or passing off, Cooper acted with malice, or showed a reckless and outrageous indifference to a highly unreasonable risk of harm and had acted with a conscious indifference to Leatherman's rights?"</w:t>
      </w:r>
      <w:r>
        <w:t xml:space="preserve"> Cooper company answered yes making the jury find them guilty. The jury as the first judges to deal with the case found that Leatherman was right and Cooper's advertising processes had much violated their trademark rights. The jury went further to determin</w:t>
      </w:r>
      <w:r>
        <w:t xml:space="preserve">e the </w:t>
      </w:r>
      <w:r w:rsidR="00557891">
        <w:t>amount</w:t>
      </w:r>
      <w:r>
        <w:t xml:space="preserve"> of punitive </w:t>
      </w:r>
      <w:r w:rsidR="00557891">
        <w:t>damages</w:t>
      </w:r>
      <w:r>
        <w:t xml:space="preserve"> which was rejected by the district court. </w:t>
      </w:r>
      <w:r w:rsidR="00557891">
        <w:t>Cooper also went to appeal to the court of appeal that affirmed the punitive damages amount that was awarded by the district court</w:t>
      </w:r>
      <w:r w:rsidR="000E7D58">
        <w:t xml:space="preserve"> (</w:t>
      </w:r>
      <w:r w:rsidR="000E7D58">
        <w:rPr>
          <w:rFonts w:eastAsia="Times New Roman" w:cs="Times New Roman"/>
          <w:szCs w:val="24"/>
          <w:lang w:eastAsia="en-GB"/>
        </w:rPr>
        <w:t xml:space="preserve">Coderch, </w:t>
      </w:r>
      <w:r w:rsidR="000E7D58" w:rsidRPr="00DF7BEC">
        <w:rPr>
          <w:rFonts w:eastAsia="Times New Roman" w:cs="Times New Roman"/>
          <w:szCs w:val="24"/>
          <w:lang w:eastAsia="en-GB"/>
        </w:rPr>
        <w:t>2001).</w:t>
      </w:r>
    </w:p>
    <w:p w14:paraId="4863E17F" w14:textId="77777777" w:rsidR="008367CE" w:rsidRPr="000E7D58" w:rsidRDefault="000A0C79" w:rsidP="00BC1D53">
      <w:pPr>
        <w:spacing w:after="0" w:line="480" w:lineRule="auto"/>
        <w:rPr>
          <w:b/>
        </w:rPr>
      </w:pPr>
      <w:r w:rsidRPr="000E7D58">
        <w:rPr>
          <w:b/>
        </w:rPr>
        <w:t>Rule of Law</w:t>
      </w:r>
    </w:p>
    <w:p w14:paraId="3ACEB023" w14:textId="77777777" w:rsidR="008367CE" w:rsidRDefault="000A0C79" w:rsidP="00BC1D53">
      <w:pPr>
        <w:spacing w:after="0" w:line="480" w:lineRule="auto"/>
        <w:ind w:firstLine="720"/>
      </w:pPr>
      <w:r>
        <w:t xml:space="preserve">The court of </w:t>
      </w:r>
      <w:r>
        <w:t>appeal needed to make an application of ad novo standard in making reviews on the district court's determinations of the constitutionality of punitive damages award.</w:t>
      </w:r>
      <w:r w:rsidR="005B50E3">
        <w:t xml:space="preserve"> The determination had to be dome if the punitive award was awarded under the correct and preferred standards</w:t>
      </w:r>
      <w:r w:rsidR="000E7D58">
        <w:t xml:space="preserve"> (</w:t>
      </w:r>
      <w:r w:rsidR="000E7D58">
        <w:rPr>
          <w:rFonts w:eastAsia="Times New Roman" w:cs="Times New Roman"/>
          <w:szCs w:val="24"/>
          <w:lang w:eastAsia="en-GB"/>
        </w:rPr>
        <w:t xml:space="preserve">Coderch, </w:t>
      </w:r>
      <w:r w:rsidR="000E7D58" w:rsidRPr="00DF7BEC">
        <w:rPr>
          <w:rFonts w:eastAsia="Times New Roman" w:cs="Times New Roman"/>
          <w:szCs w:val="24"/>
          <w:lang w:eastAsia="en-GB"/>
        </w:rPr>
        <w:t>2001).</w:t>
      </w:r>
      <w:r w:rsidR="005B50E3">
        <w:t xml:space="preserve"> The court of appeal had applied an "abuse of discretion" </w:t>
      </w:r>
      <w:r w:rsidR="00B365C2">
        <w:t xml:space="preserve">standards which </w:t>
      </w:r>
      <w:r w:rsidR="00574728">
        <w:t>can</w:t>
      </w:r>
      <w:r w:rsidR="00B365C2">
        <w:t xml:space="preserve"> be </w:t>
      </w:r>
      <w:r w:rsidR="00574728">
        <w:t>referred</w:t>
      </w:r>
      <w:r w:rsidR="00B365C2">
        <w:t xml:space="preserve"> to as less demanding </w:t>
      </w:r>
      <w:r w:rsidR="00574728">
        <w:t>standards</w:t>
      </w:r>
      <w:r w:rsidR="00B365C2">
        <w:t>.</w:t>
      </w:r>
      <w:r w:rsidR="005B50E3">
        <w:t xml:space="preserve"> </w:t>
      </w:r>
      <w:r w:rsidR="00F9378A">
        <w:t xml:space="preserve"> The court had to vacate </w:t>
      </w:r>
      <w:r w:rsidR="00B3672E">
        <w:t xml:space="preserve">the judgment and remanded the case for a </w:t>
      </w:r>
      <w:r w:rsidR="00D52AD4">
        <w:t>determination</w:t>
      </w:r>
      <w:r w:rsidR="00B3672E">
        <w:t xml:space="preserve"> whether the award is grossly excessive under the correct standard. </w:t>
      </w:r>
    </w:p>
    <w:p w14:paraId="2647F0E1" w14:textId="77777777" w:rsidR="00900C0E" w:rsidRPr="000E7D58" w:rsidRDefault="000A0C79" w:rsidP="00BC1D53">
      <w:pPr>
        <w:spacing w:after="0" w:line="480" w:lineRule="auto"/>
        <w:rPr>
          <w:b/>
        </w:rPr>
      </w:pPr>
      <w:r w:rsidRPr="000E7D58">
        <w:rPr>
          <w:b/>
        </w:rPr>
        <w:t>Reasoning</w:t>
      </w:r>
    </w:p>
    <w:p w14:paraId="30F0AA20" w14:textId="77777777" w:rsidR="008872AE" w:rsidRDefault="000A0C79" w:rsidP="00BC1D53">
      <w:pPr>
        <w:spacing w:after="0" w:line="480" w:lineRule="auto"/>
        <w:ind w:firstLine="720"/>
      </w:pPr>
      <w:r>
        <w:t xml:space="preserve">The judges considered institutional competence </w:t>
      </w:r>
      <w:r w:rsidR="00B10459">
        <w:t>in</w:t>
      </w:r>
      <w:r>
        <w:t xml:space="preserve"> </w:t>
      </w:r>
      <w:r w:rsidR="00B10459">
        <w:t>making</w:t>
      </w:r>
      <w:r>
        <w:t xml:space="preserve"> their decisions about the filed case. The judges of the district court used the superior vantage over courts of appeal to determine </w:t>
      </w:r>
      <w:r w:rsidR="00B10459">
        <w:t>how</w:t>
      </w:r>
      <w:r>
        <w:t xml:space="preserve"> the </w:t>
      </w:r>
      <w:r>
        <w:t xml:space="preserve">punitive damages awards would be distributed. The judges further utilized </w:t>
      </w:r>
      <w:r>
        <w:lastRenderedPageBreak/>
        <w:t xml:space="preserve">the reasonableness which is </w:t>
      </w:r>
      <w:r w:rsidR="00D245DE">
        <w:t>primarily</w:t>
      </w:r>
      <w:r>
        <w:t xml:space="preserve"> tied to </w:t>
      </w:r>
      <w:r w:rsidR="00D245DE">
        <w:t>reprehensibility</w:t>
      </w:r>
      <w:r>
        <w:t xml:space="preserve"> where the appellate court should </w:t>
      </w:r>
      <w:r w:rsidR="00D245DE">
        <w:t>have</w:t>
      </w:r>
      <w:r>
        <w:t xml:space="preserve"> infrequent occasion to reserve.</w:t>
      </w:r>
      <w:r w:rsidR="00587A74">
        <w:t xml:space="preserve"> The judges were able to precisely distinguish between ordinary common-law excessiveness and constitutional excessiveness that enabled them to separate fact findings that qualify for "clearly erroneous."</w:t>
      </w:r>
      <w:r w:rsidR="00DA73CC">
        <w:t xml:space="preserve"> However, the judges had to use the same approach to ensure that they yielded the same outcomes in the case.</w:t>
      </w:r>
      <w:r w:rsidR="00C02975">
        <w:t xml:space="preserve"> The judges </w:t>
      </w:r>
      <w:r w:rsidR="005C18FE">
        <w:t>concluded</w:t>
      </w:r>
      <w:r w:rsidR="00C02975">
        <w:t xml:space="preserve"> correctly </w:t>
      </w:r>
      <w:r w:rsidR="005C18FE">
        <w:t>identified</w:t>
      </w:r>
      <w:r w:rsidR="00C02975">
        <w:t xml:space="preserve"> abuse of discretion as for the appropriate standard in reviewing the District Court's determination that the punitive damages awarded against Cooper were not grossly excessive. </w:t>
      </w:r>
    </w:p>
    <w:p w14:paraId="1BBB64EB" w14:textId="77777777" w:rsidR="000E7D58" w:rsidRDefault="000A0C79" w:rsidP="00BC1D53">
      <w:pPr>
        <w:spacing w:after="0" w:line="480" w:lineRule="auto"/>
        <w:jc w:val="left"/>
      </w:pPr>
      <w:r>
        <w:br w:type="page"/>
      </w:r>
    </w:p>
    <w:p w14:paraId="7F1B564C" w14:textId="77777777" w:rsidR="000E7D58" w:rsidRDefault="000A0C79" w:rsidP="00BC1D53">
      <w:pPr>
        <w:spacing w:after="0" w:line="480" w:lineRule="auto"/>
        <w:jc w:val="center"/>
      </w:pPr>
      <w:r>
        <w:lastRenderedPageBreak/>
        <w:t>References</w:t>
      </w:r>
    </w:p>
    <w:p w14:paraId="56CA9406" w14:textId="77777777" w:rsidR="000E7D58" w:rsidRPr="00DF7BEC" w:rsidRDefault="000A0C79" w:rsidP="00BC1D53">
      <w:pPr>
        <w:spacing w:after="0" w:line="480" w:lineRule="auto"/>
        <w:ind w:left="720" w:hanging="720"/>
        <w:rPr>
          <w:rFonts w:eastAsia="Times New Roman" w:cs="Times New Roman"/>
          <w:szCs w:val="24"/>
          <w:lang w:eastAsia="en-GB"/>
        </w:rPr>
      </w:pPr>
      <w:r w:rsidRPr="00DF7BEC">
        <w:rPr>
          <w:rFonts w:eastAsia="Times New Roman" w:cs="Times New Roman"/>
          <w:szCs w:val="24"/>
          <w:lang w:eastAsia="en-GB"/>
        </w:rPr>
        <w:t>Clark, D. W. (201</w:t>
      </w:r>
      <w:r w:rsidRPr="00DF7BEC">
        <w:rPr>
          <w:rFonts w:eastAsia="Times New Roman" w:cs="Times New Roman"/>
          <w:szCs w:val="24"/>
          <w:lang w:eastAsia="en-GB"/>
        </w:rPr>
        <w:t xml:space="preserve">5). Life in Lawsuit Central: An Over-View of the Unique Aspects of Mississippi's Civil Justice System. </w:t>
      </w:r>
      <w:r w:rsidRPr="00DF7BEC">
        <w:rPr>
          <w:rFonts w:eastAsia="Times New Roman" w:cs="Times New Roman"/>
          <w:i/>
          <w:iCs/>
          <w:szCs w:val="24"/>
          <w:lang w:eastAsia="en-GB"/>
        </w:rPr>
        <w:t>Miss. CL Rev.</w:t>
      </w:r>
      <w:r w:rsidRPr="00DF7BEC">
        <w:rPr>
          <w:rFonts w:eastAsia="Times New Roman" w:cs="Times New Roman"/>
          <w:szCs w:val="24"/>
          <w:lang w:eastAsia="en-GB"/>
        </w:rPr>
        <w:t xml:space="preserve">, </w:t>
      </w:r>
      <w:r w:rsidRPr="00DF7BEC">
        <w:rPr>
          <w:rFonts w:eastAsia="Times New Roman" w:cs="Times New Roman"/>
          <w:i/>
          <w:iCs/>
          <w:szCs w:val="24"/>
          <w:lang w:eastAsia="en-GB"/>
        </w:rPr>
        <w:t>34</w:t>
      </w:r>
      <w:r w:rsidRPr="00DF7BEC">
        <w:rPr>
          <w:rFonts w:eastAsia="Times New Roman" w:cs="Times New Roman"/>
          <w:szCs w:val="24"/>
          <w:lang w:eastAsia="en-GB"/>
        </w:rPr>
        <w:t>, 149.</w:t>
      </w:r>
    </w:p>
    <w:p w14:paraId="349D921B" w14:textId="77777777" w:rsidR="000E7D58" w:rsidRPr="00DF7BEC" w:rsidRDefault="000A0C79" w:rsidP="00BC1D53">
      <w:pPr>
        <w:spacing w:after="0" w:line="480" w:lineRule="auto"/>
        <w:ind w:left="720" w:hanging="720"/>
        <w:rPr>
          <w:rFonts w:eastAsia="Times New Roman" w:cs="Times New Roman"/>
          <w:szCs w:val="24"/>
          <w:lang w:eastAsia="en-GB"/>
        </w:rPr>
      </w:pPr>
      <w:r w:rsidRPr="00DF7BEC">
        <w:rPr>
          <w:rFonts w:eastAsia="Times New Roman" w:cs="Times New Roman"/>
          <w:szCs w:val="24"/>
          <w:lang w:eastAsia="en-GB"/>
        </w:rPr>
        <w:t>Coderch</w:t>
      </w:r>
      <w:r w:rsidRPr="00DF7BEC">
        <w:rPr>
          <w:rFonts w:eastAsia="Times New Roman" w:cs="Times New Roman"/>
          <w:szCs w:val="24"/>
          <w:lang w:eastAsia="en-GB"/>
        </w:rPr>
        <w:t xml:space="preserve">, P. S. (2001). </w:t>
      </w:r>
      <w:bookmarkStart w:id="0" w:name="_GoBack"/>
      <w:r w:rsidRPr="00DF7BEC">
        <w:rPr>
          <w:rFonts w:eastAsia="Times New Roman" w:cs="Times New Roman"/>
          <w:szCs w:val="24"/>
          <w:lang w:eastAsia="en-GB"/>
        </w:rPr>
        <w:t>Cooper Industries, Inc. v. Leatherman Tool Group</w:t>
      </w:r>
      <w:bookmarkEnd w:id="0"/>
      <w:r w:rsidRPr="00DF7BEC">
        <w:rPr>
          <w:rFonts w:eastAsia="Times New Roman" w:cs="Times New Roman"/>
          <w:szCs w:val="24"/>
          <w:lang w:eastAsia="en-GB"/>
        </w:rPr>
        <w:t xml:space="preserve">, Inc. </w:t>
      </w:r>
      <w:r w:rsidRPr="00DF7BEC">
        <w:rPr>
          <w:rFonts w:eastAsia="Times New Roman" w:cs="Times New Roman"/>
          <w:i/>
          <w:iCs/>
          <w:szCs w:val="24"/>
          <w:lang w:eastAsia="en-GB"/>
        </w:rPr>
        <w:t>InDret</w:t>
      </w:r>
      <w:r w:rsidRPr="00DF7BEC">
        <w:rPr>
          <w:rFonts w:eastAsia="Times New Roman" w:cs="Times New Roman"/>
          <w:szCs w:val="24"/>
          <w:lang w:eastAsia="en-GB"/>
        </w:rPr>
        <w:t>, (3).</w:t>
      </w:r>
    </w:p>
    <w:p w14:paraId="1BFAED2D" w14:textId="77777777" w:rsidR="000E7D58" w:rsidRDefault="000A0C79" w:rsidP="00BC1D53">
      <w:pPr>
        <w:spacing w:after="0" w:line="480" w:lineRule="auto"/>
        <w:ind w:left="720" w:hanging="720"/>
      </w:pPr>
      <w:r>
        <w:t xml:space="preserve">Dole Jr, R. F. (2016). Punitive Damages and Attorney Fee Awards in Trade Secret Cases. </w:t>
      </w:r>
      <w:r>
        <w:rPr>
          <w:i/>
          <w:iCs/>
        </w:rPr>
        <w:t>Marq. Intell. Prop. L. Rev.</w:t>
      </w:r>
      <w:r>
        <w:t xml:space="preserve">, </w:t>
      </w:r>
      <w:r>
        <w:rPr>
          <w:i/>
          <w:iCs/>
        </w:rPr>
        <w:t>20</w:t>
      </w:r>
      <w:r>
        <w:t>, 1.</w:t>
      </w:r>
    </w:p>
    <w:p w14:paraId="0469A940" w14:textId="77777777" w:rsidR="000E7D58" w:rsidRPr="00DF7BEC" w:rsidRDefault="000A0C79" w:rsidP="00BC1D53">
      <w:pPr>
        <w:spacing w:after="0" w:line="480" w:lineRule="auto"/>
        <w:ind w:left="720" w:hanging="720"/>
        <w:rPr>
          <w:rFonts w:eastAsia="Times New Roman" w:cs="Times New Roman"/>
          <w:szCs w:val="24"/>
          <w:lang w:eastAsia="en-GB"/>
        </w:rPr>
      </w:pPr>
      <w:r w:rsidRPr="00DF7BEC">
        <w:rPr>
          <w:rFonts w:eastAsia="Times New Roman" w:cs="Times New Roman"/>
          <w:szCs w:val="24"/>
          <w:lang w:eastAsia="en-GB"/>
        </w:rPr>
        <w:t>Hoversten, P. A. (2017). Punishment but Not a Pen</w:t>
      </w:r>
      <w:r w:rsidRPr="00DF7BEC">
        <w:rPr>
          <w:rFonts w:eastAsia="Times New Roman" w:cs="Times New Roman"/>
          <w:szCs w:val="24"/>
          <w:lang w:eastAsia="en-GB"/>
        </w:rPr>
        <w:t xml:space="preserve">alty: Punitive Damages Are Impermissible under Foreign Substantive Law. </w:t>
      </w:r>
      <w:r w:rsidRPr="00DF7BEC">
        <w:rPr>
          <w:rFonts w:eastAsia="Times New Roman" w:cs="Times New Roman"/>
          <w:i/>
          <w:iCs/>
          <w:szCs w:val="24"/>
          <w:lang w:eastAsia="en-GB"/>
        </w:rPr>
        <w:t>Mich. L. Rev.</w:t>
      </w:r>
      <w:r w:rsidRPr="00DF7BEC">
        <w:rPr>
          <w:rFonts w:eastAsia="Times New Roman" w:cs="Times New Roman"/>
          <w:szCs w:val="24"/>
          <w:lang w:eastAsia="en-GB"/>
        </w:rPr>
        <w:t xml:space="preserve">, </w:t>
      </w:r>
      <w:r w:rsidRPr="00DF7BEC">
        <w:rPr>
          <w:rFonts w:eastAsia="Times New Roman" w:cs="Times New Roman"/>
          <w:i/>
          <w:iCs/>
          <w:szCs w:val="24"/>
          <w:lang w:eastAsia="en-GB"/>
        </w:rPr>
        <w:t>116</w:t>
      </w:r>
      <w:r w:rsidRPr="00DF7BEC">
        <w:rPr>
          <w:rFonts w:eastAsia="Times New Roman" w:cs="Times New Roman"/>
          <w:szCs w:val="24"/>
          <w:lang w:eastAsia="en-GB"/>
        </w:rPr>
        <w:t>, 759.</w:t>
      </w:r>
    </w:p>
    <w:p w14:paraId="648E9DD1" w14:textId="77777777" w:rsidR="000E7D58" w:rsidRPr="00DF7BEC" w:rsidRDefault="000A0C79" w:rsidP="00BC1D53">
      <w:pPr>
        <w:spacing w:after="0" w:line="480" w:lineRule="auto"/>
        <w:ind w:left="720" w:hanging="720"/>
        <w:rPr>
          <w:rFonts w:eastAsia="Times New Roman" w:cs="Times New Roman"/>
          <w:szCs w:val="24"/>
          <w:lang w:eastAsia="en-GB"/>
        </w:rPr>
      </w:pPr>
      <w:r w:rsidRPr="00DF7BEC">
        <w:rPr>
          <w:rFonts w:eastAsia="Times New Roman" w:cs="Times New Roman"/>
          <w:szCs w:val="24"/>
          <w:lang w:eastAsia="en-GB"/>
        </w:rPr>
        <w:t>McMichael, B. J., &amp; Viscusi, W. K. (2018). Taming Blockbuster Punitive Damages Awards.</w:t>
      </w:r>
    </w:p>
    <w:sectPr w:rsidR="000E7D58" w:rsidRPr="00DF7BEC" w:rsidSect="00422FC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5DFAC" w14:textId="77777777" w:rsidR="000A0C79" w:rsidRDefault="000A0C79">
      <w:pPr>
        <w:spacing w:after="0" w:line="240" w:lineRule="auto"/>
      </w:pPr>
      <w:r>
        <w:separator/>
      </w:r>
    </w:p>
  </w:endnote>
  <w:endnote w:type="continuationSeparator" w:id="0">
    <w:p w14:paraId="179B60F9" w14:textId="77777777" w:rsidR="000A0C79" w:rsidRDefault="000A0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45302" w14:textId="77777777" w:rsidR="000A0C79" w:rsidRDefault="000A0C79">
      <w:pPr>
        <w:spacing w:after="0" w:line="240" w:lineRule="auto"/>
      </w:pPr>
      <w:r>
        <w:separator/>
      </w:r>
    </w:p>
  </w:footnote>
  <w:footnote w:type="continuationSeparator" w:id="0">
    <w:p w14:paraId="3C5308EA" w14:textId="77777777" w:rsidR="000A0C79" w:rsidRDefault="000A0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768739"/>
      <w:docPartObj>
        <w:docPartGallery w:val="Page Numbers (Top of Page)"/>
        <w:docPartUnique/>
      </w:docPartObj>
    </w:sdtPr>
    <w:sdtEndPr>
      <w:rPr>
        <w:noProof/>
      </w:rPr>
    </w:sdtEndPr>
    <w:sdtContent>
      <w:p w14:paraId="10D6AF86" w14:textId="77777777" w:rsidR="00422FC4" w:rsidRDefault="000A0C79">
        <w:pPr>
          <w:pStyle w:val="Header"/>
          <w:jc w:val="right"/>
        </w:pPr>
        <w:r>
          <w:fldChar w:fldCharType="begin"/>
        </w:r>
        <w:r>
          <w:instrText xml:space="preserve"> PAGE   \* MERGEFORMAT </w:instrText>
        </w:r>
        <w:r>
          <w:fldChar w:fldCharType="separate"/>
        </w:r>
        <w:r w:rsidR="000E7D58">
          <w:rPr>
            <w:noProof/>
          </w:rPr>
          <w:t>7</w:t>
        </w:r>
        <w:r>
          <w:rPr>
            <w:noProof/>
          </w:rPr>
          <w:fldChar w:fldCharType="end"/>
        </w:r>
      </w:p>
    </w:sdtContent>
  </w:sdt>
  <w:p w14:paraId="171867BF" w14:textId="77777777" w:rsidR="00422FC4" w:rsidRDefault="000A0C79">
    <w:pPr>
      <w:pStyle w:val="Header"/>
    </w:pPr>
    <w:r w:rsidRPr="00725368">
      <w:t xml:space="preserve">COOPER INDUSTRIES V. </w:t>
    </w:r>
    <w:r w:rsidRPr="00725368">
      <w:t>LEATHERMAN TOOL GROUP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E24EA" w14:textId="3FE76C98" w:rsidR="00422FC4" w:rsidRDefault="000A0C79" w:rsidP="00422FC4">
    <w:r>
      <w:t xml:space="preserve">Running </w:t>
    </w:r>
    <w:r w:rsidR="00BC1D53">
      <w:t>h</w:t>
    </w:r>
    <w:r>
      <w:t xml:space="preserve">ead: </w:t>
    </w:r>
    <w:r w:rsidRPr="00725368">
      <w:t>COOPER INDUSTRIES V. LEATHERMAN TOOL GROUP</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368"/>
    <w:rsid w:val="00021871"/>
    <w:rsid w:val="0008228C"/>
    <w:rsid w:val="000A0C79"/>
    <w:rsid w:val="000A106B"/>
    <w:rsid w:val="000D3ABB"/>
    <w:rsid w:val="000E7D58"/>
    <w:rsid w:val="000F2DEA"/>
    <w:rsid w:val="00163993"/>
    <w:rsid w:val="00170BF9"/>
    <w:rsid w:val="00173582"/>
    <w:rsid w:val="001D60BC"/>
    <w:rsid w:val="001E4328"/>
    <w:rsid w:val="002D1434"/>
    <w:rsid w:val="00312DD4"/>
    <w:rsid w:val="00326A1B"/>
    <w:rsid w:val="00383010"/>
    <w:rsid w:val="003C6050"/>
    <w:rsid w:val="003F6CBF"/>
    <w:rsid w:val="00422FC4"/>
    <w:rsid w:val="00440739"/>
    <w:rsid w:val="004D57C0"/>
    <w:rsid w:val="00503841"/>
    <w:rsid w:val="0050749B"/>
    <w:rsid w:val="00512349"/>
    <w:rsid w:val="005237FB"/>
    <w:rsid w:val="005556D7"/>
    <w:rsid w:val="00557891"/>
    <w:rsid w:val="00574728"/>
    <w:rsid w:val="00587A74"/>
    <w:rsid w:val="005B50E3"/>
    <w:rsid w:val="005C18FE"/>
    <w:rsid w:val="005D6E61"/>
    <w:rsid w:val="00606FFE"/>
    <w:rsid w:val="006126F3"/>
    <w:rsid w:val="006346F0"/>
    <w:rsid w:val="00644C5C"/>
    <w:rsid w:val="00697997"/>
    <w:rsid w:val="006A2DD9"/>
    <w:rsid w:val="006C5FA0"/>
    <w:rsid w:val="00724A32"/>
    <w:rsid w:val="00725368"/>
    <w:rsid w:val="00746FFC"/>
    <w:rsid w:val="00772870"/>
    <w:rsid w:val="007A023F"/>
    <w:rsid w:val="007A1BFD"/>
    <w:rsid w:val="007D6C97"/>
    <w:rsid w:val="008367CE"/>
    <w:rsid w:val="00862AF3"/>
    <w:rsid w:val="008872AE"/>
    <w:rsid w:val="008974D9"/>
    <w:rsid w:val="008F43B2"/>
    <w:rsid w:val="00900C0E"/>
    <w:rsid w:val="00A807C7"/>
    <w:rsid w:val="00AD795F"/>
    <w:rsid w:val="00B10459"/>
    <w:rsid w:val="00B27B1B"/>
    <w:rsid w:val="00B31EF5"/>
    <w:rsid w:val="00B365C2"/>
    <w:rsid w:val="00B3672E"/>
    <w:rsid w:val="00B40A79"/>
    <w:rsid w:val="00B7081C"/>
    <w:rsid w:val="00BC1D53"/>
    <w:rsid w:val="00BF19C9"/>
    <w:rsid w:val="00C02975"/>
    <w:rsid w:val="00C049DE"/>
    <w:rsid w:val="00C07705"/>
    <w:rsid w:val="00C24E18"/>
    <w:rsid w:val="00D245DE"/>
    <w:rsid w:val="00D52AD4"/>
    <w:rsid w:val="00D64E78"/>
    <w:rsid w:val="00DA73CC"/>
    <w:rsid w:val="00DE553A"/>
    <w:rsid w:val="00DF7BEC"/>
    <w:rsid w:val="00E45A3E"/>
    <w:rsid w:val="00ED2DCD"/>
    <w:rsid w:val="00F25ED4"/>
    <w:rsid w:val="00F31F40"/>
    <w:rsid w:val="00F811FA"/>
    <w:rsid w:val="00F93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D68F9"/>
  <w15:chartTrackingRefBased/>
  <w15:docId w15:val="{1B1D4722-620C-439F-84F6-3D3F21829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F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2FC4"/>
    <w:rPr>
      <w:rFonts w:ascii="Times New Roman" w:hAnsi="Times New Roman"/>
      <w:sz w:val="24"/>
    </w:rPr>
  </w:style>
  <w:style w:type="paragraph" w:styleId="Footer">
    <w:name w:val="footer"/>
    <w:basedOn w:val="Normal"/>
    <w:link w:val="FooterChar"/>
    <w:uiPriority w:val="99"/>
    <w:unhideWhenUsed/>
    <w:rsid w:val="00422F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2FC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AE8E5-F446-4B55-8158-4A561B27D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1408</Words>
  <Characters>8030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2018-11-25T16:35:00Z</dcterms:created>
  <dcterms:modified xsi:type="dcterms:W3CDTF">2018-11-25T16:35:00Z</dcterms:modified>
</cp:coreProperties>
</file>